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⭕ Beroa Residencial Modelo Refugio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$7,950,000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Terreno 510m2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Construcción  373.72 m2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Primer planta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Cuenta con cuarto de lavado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Cuarto de servicio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Cocina y sala en espacio abierto. Techo doble altura en sala.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Recamara principal con walking closet y baño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Planta Alta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Estancia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 recámaras secundarias con baño cada una.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Preparación para minisplit o central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